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FE53E" w14:textId="301E3319" w:rsidR="004013AF" w:rsidRDefault="004013AF" w:rsidP="004013AF">
      <w:pPr>
        <w:pStyle w:val="MyFontStyle"/>
      </w:pPr>
      <w:r>
        <w:t xml:space="preserve">"Ata de Reunião do Fundo Municipal de Previdência Social dos Servidores do Município de Itaberaí de Investimentos do ITAPREVI, realizada aos </w:t>
      </w:r>
      <w:r w:rsidR="001C2D47">
        <w:t>26</w:t>
      </w:r>
      <w:r>
        <w:t xml:space="preserve"> dias do mês de </w:t>
      </w:r>
      <w:r w:rsidR="006522AC">
        <w:t xml:space="preserve">Agosto </w:t>
      </w:r>
      <w:r>
        <w:t xml:space="preserve">de 2025, às </w:t>
      </w:r>
      <w:r w:rsidR="001C2D47">
        <w:t>10</w:t>
      </w:r>
      <w:r w:rsidR="005047BD">
        <w:t>h</w:t>
      </w:r>
      <w:r>
        <w:t xml:space="preserve">. </w:t>
      </w:r>
      <w:r w:rsidRPr="005047BD">
        <w:rPr>
          <w:highlight w:val="yellow"/>
        </w:rPr>
        <w:t xml:space="preserve">Estavam presentes: o(a) Presidente do ITAPREVI, Sr.(a) MICHELE MARQUES SANTOS PINHEIRO, membro do COMIN, Sr.(a) </w:t>
      </w:r>
      <w:r w:rsidR="006522AC">
        <w:rPr>
          <w:highlight w:val="yellow"/>
        </w:rPr>
        <w:t>LIEGE  Augusta Cesar Neto Marinho</w:t>
      </w:r>
      <w:r w:rsidRPr="005047BD">
        <w:rPr>
          <w:highlight w:val="yellow"/>
        </w:rPr>
        <w:t>, Sr.(</w:t>
      </w:r>
      <w:r w:rsidR="006522AC">
        <w:rPr>
          <w:highlight w:val="yellow"/>
        </w:rPr>
        <w:t>o</w:t>
      </w:r>
      <w:r w:rsidRPr="005047BD">
        <w:rPr>
          <w:highlight w:val="yellow"/>
        </w:rPr>
        <w:t>) Marcos Heron de Lima, Sr.(a) Marília Carvalho</w:t>
      </w:r>
      <w:r w:rsidR="005C6E99">
        <w:rPr>
          <w:highlight w:val="yellow"/>
        </w:rPr>
        <w:t xml:space="preserve"> de Oliveira</w:t>
      </w:r>
      <w:r w:rsidRPr="005047BD">
        <w:rPr>
          <w:highlight w:val="yellow"/>
        </w:rPr>
        <w:t>,</w:t>
      </w:r>
      <w:r>
        <w:t xml:space="preserve"> e o(a) representante da consultoria de investimentos </w:t>
      </w:r>
      <w:r w:rsidR="005047BD">
        <w:t>Bruno Soares</w:t>
      </w:r>
      <w:r>
        <w:t xml:space="preserve">.  A reunião iniciou com o(a) Sr.(a) </w:t>
      </w:r>
      <w:r w:rsidR="005047BD">
        <w:t xml:space="preserve">Bruno Soares </w:t>
      </w:r>
      <w:r>
        <w:t>apresentando aos membros do Comitê de Investimentos presentes o cenário econômico: O mês de julho de 2025 foi marcado por uma intensificação da incerteza e volatilidade nos mercados globais e domésticos. Internacionalmente, as tensões comerciais entre os Estados Unidos e seus parceiros se ampliaram, embora acordos subsequentes tenham mitigado parte dos impactos. O Federal Reserve manteve as taxas de juros estáveis, atento aos dados de inflação e a um mercado de trabalho resiliente, projetando o primeiro corte apenas para dezembro de 2025. O debate fiscal nos EUA também se intensificou, com a aprovação de um novo pacote de estímulos que pode elevar significativamente a dívida pública.</w:t>
      </w:r>
    </w:p>
    <w:p w14:paraId="664A2A34" w14:textId="77777777" w:rsidR="004013AF" w:rsidRDefault="004013AF" w:rsidP="004013AF">
      <w:pPr>
        <w:pStyle w:val="MyFontStyle"/>
      </w:pPr>
      <w:r>
        <w:t>No Brasil, o cenário foi desafiador, com a crise do IOF e a validação parcial do decreto pelo STF, reforçando a percepção de conflito entre os Poderes e fragilizando o ambiente fiscal. A proposta de retirada de precatórios do limite de despesas primárias, embora alivie o curto prazo, pode gerar acomodação fiscal. A decisão dos EUA de elevar tarifas sobre produtos brasileiros gerou forte repercussão, mas a posterior lista de exceções para setores estratégicos reduziu significativamente os impactos negativos sobre o PIB, que agora se estima em 0,1 a 0,15 ponto percentual. A bolsa brasileira registrou queda em julho, com saída de capital estrangeiro no mês, refletindo a incerteza fiscal e política externa, apesar de um saldo anual ainda positivo.</w:t>
      </w:r>
    </w:p>
    <w:p w14:paraId="4641ECF3" w14:textId="399FE072" w:rsidR="00F7531A" w:rsidRPr="004013AF" w:rsidRDefault="004013AF" w:rsidP="004013AF">
      <w:pPr>
        <w:pStyle w:val="MyFontStyle"/>
      </w:pPr>
      <w:r>
        <w:t xml:space="preserve">O Comitê de Política Monetária manteve a taxa Selic em 15,0% ao ano, adotando um tom firme devido à inflação persistente e ao dinamismo do mercado de trabalho, com projeções de cortes apenas a partir de março de 2026. Apesar de um desempenho fiscal surpreendentemente positivo no primeiro semestre de 2025, projeta-se uma piora no segundo semestre e em 2026, com alto risco de descumprimento das metas fiscais. A taxa de desemprego atingiu o menor nível histórico em junho (5,8%), indicando um mercado de trabalho robusto. A falta de clareza e coordenação nas decisões de política econômica, tanto global quanto doméstica, continua a minar a confiança dos agentes econômicos. Após explanação, iniciou-se o apontamento do Relatório de Investimentos das aplicações financeiras do mês julho do ano de 2025. O ITAPREVI finalizou o mês com patrimônio </w:t>
      </w:r>
      <w:r>
        <w:lastRenderedPageBreak/>
        <w:t xml:space="preserve">líquido de R$ 84.457.924,72 (oitenta e quatro milhões quatrocentos e cinquenta e sete mil e novecentos e vinte e quatro reais e setenta e dois centavos), que representa um crescimento de 11,69% (onze vírgula sessenta e nove por cento) no ano. A carteira de investimentos atingiu em julho a rentabilidade positiva de 1,11% (um vírgula onze por cento) equivalente a um ganho de R$ 927.121,47 (novecentos e vinte e sete mil e cento e vinte e um reais e quarenta e sete centavos). No acumulado, a rentabilidade da carteira no ano está, até o momento, em 7,3% (sete vírgula trinta e </w:t>
      </w:r>
      <w:r w:rsidR="00E314FF">
        <w:t>oito</w:t>
      </w:r>
      <w:r>
        <w:t xml:space="preserve"> por cento), representando um ganho de R$ 5.785.050,41 (cinco milhões setecentos e oitenta e cinco mil e cinquenta reais e quarenta e um centavos), enquanto a meta atuarial (IPCA + 5,47%) acumulada é de </w:t>
      </w:r>
      <w:r w:rsidR="00AA6148">
        <w:t>6,52</w:t>
      </w:r>
      <w:r>
        <w:t>% (</w:t>
      </w:r>
      <w:r w:rsidR="00AA6148">
        <w:t>seis</w:t>
      </w:r>
      <w:r>
        <w:t xml:space="preserve"> vírgula </w:t>
      </w:r>
      <w:r w:rsidR="00AA6148">
        <w:t>cinquenta e dois</w:t>
      </w:r>
      <w:r>
        <w:t xml:space="preserve"> por cento). Diante dos resultados, a consultoria de investimentos sugeriu a realocação dos investimentos</w:t>
      </w:r>
      <w:r w:rsidR="00AA6148">
        <w:t xml:space="preserve">, foi </w:t>
      </w:r>
      <w:r w:rsidR="004051EC">
        <w:t xml:space="preserve">proposto a realocação do valor total aplicado no fundo </w:t>
      </w:r>
      <w:r w:rsidR="007D2610" w:rsidRPr="007D2610">
        <w:t>CAIXA BRASIL IMA-B 5 TÍTULOS PÚBLICOS RENDA FIXA LONGO PRAZO</w:t>
      </w:r>
      <w:r w:rsidR="007D2610">
        <w:t xml:space="preserve"> (CNPJ: </w:t>
      </w:r>
      <w:r w:rsidR="007D2610" w:rsidRPr="007D2610">
        <w:t>11.060.913/0001-10</w:t>
      </w:r>
      <w:r w:rsidR="007D2610">
        <w:t xml:space="preserve">) para o fundo </w:t>
      </w:r>
      <w:proofErr w:type="spellStart"/>
      <w:r w:rsidR="007D2610" w:rsidRPr="007D2610">
        <w:t>FUNDO</w:t>
      </w:r>
      <w:proofErr w:type="spellEnd"/>
      <w:r w:rsidR="007D2610" w:rsidRPr="007D2610">
        <w:t xml:space="preserve"> DE INVESTIMENTO CAIXA BRASIL MATRIZ RENDA FIXA</w:t>
      </w:r>
      <w:r w:rsidR="007D2610">
        <w:t xml:space="preserve"> (CNPJ: </w:t>
      </w:r>
      <w:r w:rsidR="00A84518" w:rsidRPr="00A84518">
        <w:t>23.215.008/0001-70</w:t>
      </w:r>
      <w:r w:rsidR="00A84518">
        <w:t>)</w:t>
      </w:r>
      <w:r>
        <w:t xml:space="preserve">, respeitando as diretrizes aprovadas na Política de Investimentos. Apresentou-se ainda que o ITAPREVI encontra-se devidamente enquadrado nos limites da resolução 4.963 CMN. Após a demonstração dos resultados, o COMIN aprovou o Relatório de Investimentos das aplicações financeiras apresentado. E, não havendo nada mais a ser tratado, o(a) Representante legal do ITAPREVI, encerrou a reunião e solicitou a mim, o(a) Sr.(a) </w:t>
      </w:r>
      <w:r w:rsidR="005B23DC">
        <w:t>Cleusa Maria de Souza</w:t>
      </w:r>
      <w:r>
        <w:t>, para lavrar a presente ata que após lida e aprovada será assinada por todos os presentes."</w:t>
      </w:r>
      <w:r w:rsidR="005B23DC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01E7">
        <w:t>__________________________________________________________________________________</w:t>
      </w:r>
    </w:p>
    <w:sectPr w:rsidR="00F7531A" w:rsidRPr="004013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AF"/>
    <w:rsid w:val="00105308"/>
    <w:rsid w:val="001C2D47"/>
    <w:rsid w:val="001F3386"/>
    <w:rsid w:val="004013AF"/>
    <w:rsid w:val="004051EC"/>
    <w:rsid w:val="005047BD"/>
    <w:rsid w:val="005658F2"/>
    <w:rsid w:val="005B23DC"/>
    <w:rsid w:val="005C6E99"/>
    <w:rsid w:val="006522AC"/>
    <w:rsid w:val="007D2610"/>
    <w:rsid w:val="007E4931"/>
    <w:rsid w:val="009C2C0D"/>
    <w:rsid w:val="009E01E7"/>
    <w:rsid w:val="00A84518"/>
    <w:rsid w:val="00AA6148"/>
    <w:rsid w:val="00E314FF"/>
    <w:rsid w:val="00F7531A"/>
    <w:rsid w:val="00F8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5A94"/>
  <w15:chartTrackingRefBased/>
  <w15:docId w15:val="{22ED7B45-0381-4ABD-9B2C-72DFA8C8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1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13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13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13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13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13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13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13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13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13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13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13AF"/>
    <w:rPr>
      <w:b/>
      <w:bCs/>
      <w:smallCaps/>
      <w:color w:val="0F4761" w:themeColor="accent1" w:themeShade="BF"/>
      <w:spacing w:val="5"/>
    </w:rPr>
  </w:style>
  <w:style w:type="paragraph" w:customStyle="1" w:styleId="MyFontStyle">
    <w:name w:val="MyFontStyle"/>
    <w:basedOn w:val="Normal"/>
    <w:link w:val="MyFontStyleChar"/>
    <w:rsid w:val="004013AF"/>
    <w:pPr>
      <w:spacing w:line="360" w:lineRule="auto"/>
      <w:ind w:firstLine="850"/>
      <w:jc w:val="both"/>
    </w:pPr>
  </w:style>
  <w:style w:type="character" w:customStyle="1" w:styleId="MyFontStyleChar">
    <w:name w:val="MyFontStyle Char"/>
    <w:basedOn w:val="Fontepargpadro"/>
    <w:link w:val="MyFontStyle"/>
    <w:rsid w:val="00401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70397C1B4CF64491808625FD642B78" ma:contentTypeVersion="15" ma:contentTypeDescription="Crie um novo documento." ma:contentTypeScope="" ma:versionID="25d0890256644e976cd25b1ec52a298c">
  <xsd:schema xmlns:xsd="http://www.w3.org/2001/XMLSchema" xmlns:xs="http://www.w3.org/2001/XMLSchema" xmlns:p="http://schemas.microsoft.com/office/2006/metadata/properties" xmlns:ns2="cd1a1d48-4973-4a23-8b68-f77b01a7e28d" xmlns:ns3="6c78455b-d072-43e9-9bf7-ade5802a6fe0" targetNamespace="http://schemas.microsoft.com/office/2006/metadata/properties" ma:root="true" ma:fieldsID="625410b486571fdf3d341f39f04f759d" ns2:_="" ns3:_="">
    <xsd:import namespace="cd1a1d48-4973-4a23-8b68-f77b01a7e28d"/>
    <xsd:import namespace="6c78455b-d072-43e9-9bf7-ade5802a6f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a1d48-4973-4a23-8b68-f77b01a7e2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067f676-6484-4587-bd3f-2bddf17640c0}" ma:internalName="TaxCatchAll" ma:showField="CatchAllData" ma:web="cd1a1d48-4973-4a23-8b68-f77b01a7e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8455b-d072-43e9-9bf7-ade5802a6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0b1e06-3324-4a44-a620-ea9d537b5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1a1d48-4973-4a23-8b68-f77b01a7e28d" xsi:nil="true"/>
    <lcf76f155ced4ddcb4097134ff3c332f xmlns="6c78455b-d072-43e9-9bf7-ade5802a6f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27082F-32C8-4334-867C-C0D91C5FC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1a1d48-4973-4a23-8b68-f77b01a7e28d"/>
    <ds:schemaRef ds:uri="6c78455b-d072-43e9-9bf7-ade5802a6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B9DF4E-E0C4-4BC8-B0B8-EC1198BFB70B}">
  <ds:schemaRefs>
    <ds:schemaRef ds:uri="http://schemas.microsoft.com/office/2006/metadata/properties"/>
    <ds:schemaRef ds:uri="http://schemas.microsoft.com/office/infopath/2007/PartnerControls"/>
    <ds:schemaRef ds:uri="cd1a1d48-4973-4a23-8b68-f77b01a7e28d"/>
    <ds:schemaRef ds:uri="6c78455b-d072-43e9-9bf7-ade5802a6fe0"/>
  </ds:schemaRefs>
</ds:datastoreItem>
</file>

<file path=customXml/itemProps3.xml><?xml version="1.0" encoding="utf-8"?>
<ds:datastoreItem xmlns:ds="http://schemas.openxmlformats.org/officeDocument/2006/customXml" ds:itemID="{F864C08F-6638-4B86-9C1D-D6F5AA81CA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783</Words>
  <Characters>4230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Veiga</dc:creator>
  <cp:keywords/>
  <dc:description/>
  <cp:lastModifiedBy>ITAPREVI Itaberaí-GO</cp:lastModifiedBy>
  <cp:revision>5</cp:revision>
  <dcterms:created xsi:type="dcterms:W3CDTF">2025-08-28T19:54:00Z</dcterms:created>
  <dcterms:modified xsi:type="dcterms:W3CDTF">2025-09-01T18:46:00Z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0x0101006970397C1B4CF64491808625FD642B78</vt:lpwstr>
  </property>
</Properties>
</file>